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478</w:t>
      </w:r>
    </w:p>
    <w:p>
      <w:r>
        <w:t>Bundesgericht (BGE), 1993-06-24, DE</w:t>
      </w:r>
    </w:p>
    <w:p>
      <w:r>
        <w:rPr>
          <w:b/>
        </w:rPr>
        <w:t xml:space="preserve">Quelle: </w:t>
      </w:r>
      <w:r>
        <w:t>https://mcp.opencaselaw.ch/entscheid/bge_119 II 478</w:t>
      </w:r>
    </w:p>
    <w:p>
      <w:r>
        <w:t>FR: ATF 119 II 478</w:t>
      </w:r>
    </w:p>
    <w:p>
      <w:r>
        <w:t>IT: DTF 119 II 478</w:t>
      </w:r>
    </w:p>
    <w:p>
      <w:pPr>
        <w:pStyle w:val="Heading2"/>
      </w:pPr>
      <w:r>
        <w:t>Regeste</w:t>
      </w:r>
    </w:p>
    <w:p>
      <w:r>
        <w:t>Regeste Art. 51 Abs. 1 lit. c OG; Anforderungen an den Entscheid der kantonalen Behörde. Der Verweis eines kantonalen Appellationsgerichts auf den Entscheid der ersten Instanz ohne eigene Motive verstösst gegen Art. 51 Abs. 1 lit. c OG, wenn sich die Sachverhaltsfeststellung als falsch oder ungenügend erwiesen und das Berufungsgericht deshalb neue Beweismittel zugelassen hat. Dieses muss sich in einem solchen Fall mit dem Beweisergebnis auseinandersetzen und seine tatsächlichen Annahmen begründen.</w:t>
      </w:r>
    </w:p>
    <w:p>
      <w:pPr>
        <w:pStyle w:val="Heading2"/>
      </w:pPr>
      <w:r>
        <w:t>Erwägungen</w:t>
      </w:r>
    </w:p>
    <w:p>
      <w:r>
        <w:rPr>
          <w:b/>
        </w:rPr>
        <w:t>E. 1</w:t>
      </w:r>
    </w:p>
    <w:p>
      <w:r>
        <w:t>Der Bezirksgerichtspräsident erwog, die vom Mieter geltend gemachten Interessen vermöchten schwerlich einen Härtefall zu begründen. Deshalb müsse das Erstreckungsgesuch abgewiesen werden. Würde auch eine gewisse Härte angenommen, könnte die Mieterstreckung trotzdem nicht gewährt werden, weil der Eigenbedarf der Vermieterin bzw. ihrer schwangeren Tochter vorgehe. a) In Anwendung von Art. 274d Abs. 3 OR nahm das Obergericht mehrere vom Beklagten erst im Appellationsverfahren angerufene Beweismittel entgegen und befragte den Mieter nochmals eingehend. Anschliessend bestätigte es das Urteil seiner Vorinstanz mit der Begründung, auch bei Berücksichtigung der vorgelegten Beweise falle die Interessenabwägung zugunsten der Vermieterin aus. Auf eine schriftliche Motivierung könne verzichtet werden, da das Obergericht gemäss neuerer Praxis bei vollumfänglicher Bestätigung des erstinstanzlichen Urteils ohne neue Motive generell auf die schriftliche BGE 119 II 478 S. 480 Begründung des bezirksgerichtlichen Entscheids sowie auf die mündliche Begründung des Obergerichts verweise. b) Der Beklagte rügt vorab eine Verletzung von Art. 51 Abs. 1 lit. c OG . Er habe in seiner Eingabe an das Obergericht dargetan, dass die Sachverhaltsdarstellung des Bezirksgerichtspräsidenten unter Verletzung von wesentlichen Verfahrensvorschriften zustande gekommen sei. Das Obergericht habe seine Rüge anerkannt und befunden, der Mangel werde durch das obergerichtliche Verfahren geheilt, weil die Beweise des Mieters nachträglich entgegengenommen würden. Das Obergericht habe es jedoch unterlassen, sich zum Ergebnis des Beweisverfahrens zu äussern. Es lasse sich nicht nachvollziehen, wie das Obergericht zum Schluss gelangt sei, die Interessenabwägung falle zugunsten der Klägerin aus, und welche Umstände es dabei als massgeblich angesehen habe. c) Gemäss Art. 51 Abs. 1 lit. c OG hat die kantonale Behörde das Ergebnis der Beweisführung im Entscheid festzustellen. Ob diese Voraussetzung erfüllt ist, prüft das Bundesgericht von Amtes wegen, und zwar vor der Eintretensfrage (POUDRET, COJ II, N. 1 zu Art. 51 OG , S. 361). Wird in der Berufung selbst ein Vorgehen nach Art. 51 f. OG beantragt, so muss dargetan werden, dass der Mangel den Sachentscheid beeinflusst hat (MESSMER/IMBODEN, Ziff. 125 Fn. 29 in Verbindung mit Ziff. 114 Fn. 25). Diese Bedingung erfüllt der Beklagte, indem er gleichzeitig eine Verletzung von Art. 274d Abs. 3 OR geltend macht und im übrigen ausführlich dartut, inwiefern die Interessenabwägung gemäss Art. 272 OR bei Berücksichtigung sämtlicher Tatsachen zu seinen Gunsten auszufallen habe. Die Bestimmung von Art. 51 Abs. 1 lit. c OG rechtfertigt sich in zweifacher Hinsicht. Einerseits haben die Parteien im Hinblick auf den Entscheid über die Einlegung einer Berufung Anspruch darauf, alle tatsächlichen und rechtlichen Erwägungen des kantonalen Richters zur Kenntnis nehmen zu können. Anderseits ergibt sich die Notwendigkeit einer vollständigen Sachverhaltsfeststellung aus der Vorschrift von Art. 63 Abs. 2 OG , welche das Bundesgericht an die tatsächlichen Feststellungen bindet. Letztere müssen ausreichend vollständig und detailliert sein, damit die Überprüfung der Rechtsanwendung möglich ist (POUDRET, COJ II, N. 4 zu Art. 51 OG , S. 365). d) Das Obergericht verweist ohne neue Motive auf die schriftliche Begründung des vorinstanzlichen Präsidialentscheides. Dieses Vorgehen ist grundsätzlich zulässig. Es bedingt lediglich, dass das erstinstanzliche Urteil den Anforderungen von Art. 51 OG genügt (POUDRET, COJ II, N. 1 zu Art. 51, S. 361). Der Beklagte wirft dem BGE 119 II 478 S. 481 Bezirksgerichtspräsidenten zu Recht keine Verletzung von bundesrechtlichen Verfahrensvorschriften vor. Hingegen macht er geltend, das Obergericht habe seinen Einwand, die erstinstanzliche Sachverhaltsfeststellung sei unrichtig und unvollständig, geschützt. Es habe die im Appellationsverfahren ins Recht gelegten Beweismittel entgegengenommen. Es habe sich dazu aber nicht geäussert. Die unvollständigen Erwägungen des angefochtenen Urteils liessen keinen Schluss darüber zu, ob das Obergericht den vom Beklagten behaupteten Sachverhalt als erstellt erachtete, der Mieter habe sich bisher um Ersatzobjekte bemüht, er habe auf Frühjahr 1994 zwei Objekte angeboten erhalten, und das Objekt der Tochter der Vermieterin sei eine Dreizimmerwohnung mit mehr als 80 m2 Grundfläche an ruhiger Wohnlage. Der Einwand des Beklagten trifft zu. Der Bezirksgerichtspräsident hatte mehrere Einwände des Mieters mangels Beweisen abgewiesen und festgehalten, für gewichtige persönliche oder familiäre Interessen des Beklagten an einer Mieterstreckung seien keine Anhaltspunkte gegeben. Das Obergericht hatte aufgrund der von ihm abgenommenen Beweise von einem erheblich geänderten Sachverhalt auszugehen. Seinem Entscheid kann aber nicht entnommen werden, inwieweit es diesen Neuerungen Rechnung getragen hat. Es führt zwar aus, auch bei Berücksichtigung der vorgelegten Beweismittel falle die Interessenabwägung zugunsten der Vermieterin aus. Aus dem angefochtenen Urteil geht aber nicht hervor, inwieweit die rechtliche Interessenabwägung den ergänzten Sachverhalt berücksichtigt. Wenn ein kantonales Berufungsgericht schon Beweise abnimmt, dann muss es sich zu diesen auch äussern. Der kantonale Richter hat sich mit dem Beweisergebnis auseinanderzusetzen und seine tatsächlichen Annahmen zu begründen (vgl. dazu MESSMER/IMBODEN, Ziff. 125 Fn. 37). e) Zusammenfassend ist festzuhalten, dass der blosse Verweis eines kantonalen Appellationsgerichts auf den erstinstanzlichen Entscheid, und damit der Verzicht auf eigene Motive, gegen Art. 51 Abs. 1 lit. c OG verstösst, wenn sich die erstinstanzliche Sachverhaltsdarstellung als falsch oder ungenügend erweist und das Berufungsgericht deshalb neue Beweismittel zulässt.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